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CD" w:rsidRDefault="00657CCD">
      <w:bookmarkStart w:id="0" w:name="_GoBack"/>
      <w:bookmarkEnd w:id="0"/>
      <w:r>
        <w:t>Puitu lagundavad seened ja seenhaigused</w:t>
      </w:r>
    </w:p>
    <w:tbl>
      <w:tblPr>
        <w:tblStyle w:val="Kontuurtabel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66"/>
        <w:gridCol w:w="2260"/>
        <w:gridCol w:w="2266"/>
        <w:gridCol w:w="2270"/>
      </w:tblGrid>
      <w:tr w:rsidR="00187C64" w:rsidTr="00187C64">
        <w:tc>
          <w:tcPr>
            <w:tcW w:w="2303" w:type="dxa"/>
          </w:tcPr>
          <w:p w:rsidR="00E9761B" w:rsidRDefault="00187C64" w:rsidP="00E9761B">
            <w:r>
              <w:t>Okkaroosted</w:t>
            </w:r>
            <w:r w:rsidR="00E9761B">
              <w:t xml:space="preserve"> Leheroosted</w:t>
            </w:r>
          </w:p>
          <w:p w:rsidR="00187C64" w:rsidRDefault="00187C64" w:rsidP="00187C64"/>
          <w:p w:rsidR="00187C64" w:rsidRDefault="00187C64" w:rsidP="00187C64"/>
        </w:tc>
        <w:tc>
          <w:tcPr>
            <w:tcW w:w="2303" w:type="dxa"/>
          </w:tcPr>
          <w:p w:rsidR="00187C64" w:rsidRDefault="00D46C91" w:rsidP="00187C64">
            <w:r>
              <w:t xml:space="preserve">Külmaseen- </w:t>
            </w:r>
            <w:proofErr w:type="spellStart"/>
            <w:r w:rsidRPr="00187C64">
              <w:rPr>
                <w:i/>
              </w:rPr>
              <w:t>Armillaria</w:t>
            </w:r>
            <w:proofErr w:type="spellEnd"/>
            <w:r w:rsidRPr="00187C64">
              <w:rPr>
                <w:i/>
              </w:rPr>
              <w:t xml:space="preserve"> sp</w:t>
            </w:r>
          </w:p>
        </w:tc>
        <w:tc>
          <w:tcPr>
            <w:tcW w:w="2303" w:type="dxa"/>
          </w:tcPr>
          <w:p w:rsidR="00187C64" w:rsidRDefault="00D46C91" w:rsidP="00187C64">
            <w:r>
              <w:t xml:space="preserve">Lamesüsik- </w:t>
            </w:r>
            <w:r w:rsidRPr="00D46C91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4"/>
                <w:szCs w:val="74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Kretzchmaria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deusta</w:t>
            </w:r>
            <w:proofErr w:type="spellEnd"/>
          </w:p>
        </w:tc>
        <w:tc>
          <w:tcPr>
            <w:tcW w:w="2303" w:type="dxa"/>
          </w:tcPr>
          <w:p w:rsidR="00187C64" w:rsidRDefault="00D46C91" w:rsidP="00187C64">
            <w:proofErr w:type="spellStart"/>
            <w:r>
              <w:t>Haavataelik</w:t>
            </w:r>
            <w:proofErr w:type="spellEnd"/>
            <w:r>
              <w:t xml:space="preserve">- </w:t>
            </w:r>
            <w:r w:rsidRPr="008B6940">
              <w:rPr>
                <w:rFonts w:ascii="Calibri" w:hAnsi="Calibri"/>
                <w:i/>
                <w:color w:val="FF0000"/>
              </w:rPr>
              <w:t xml:space="preserve"> </w:t>
            </w:r>
            <w:proofErr w:type="spellStart"/>
            <w:r w:rsidRPr="00D46C91">
              <w:rPr>
                <w:rFonts w:ascii="Calibri" w:hAnsi="Calibri"/>
                <w:i/>
              </w:rPr>
              <w:t>Phellinus</w:t>
            </w:r>
            <w:proofErr w:type="spellEnd"/>
            <w:r w:rsidRPr="00D46C91">
              <w:rPr>
                <w:rFonts w:ascii="Calibri" w:hAnsi="Calibri"/>
                <w:i/>
              </w:rPr>
              <w:t xml:space="preserve"> </w:t>
            </w:r>
            <w:proofErr w:type="spellStart"/>
            <w:r w:rsidRPr="00D46C91">
              <w:rPr>
                <w:rFonts w:ascii="Calibri" w:hAnsi="Calibri"/>
                <w:i/>
              </w:rPr>
              <w:t>tremulae</w:t>
            </w:r>
            <w:proofErr w:type="spellEnd"/>
          </w:p>
        </w:tc>
      </w:tr>
      <w:tr w:rsidR="00187C64" w:rsidTr="00187C64">
        <w:tc>
          <w:tcPr>
            <w:tcW w:w="2303" w:type="dxa"/>
          </w:tcPr>
          <w:p w:rsidR="00E9761B" w:rsidRDefault="00E9761B" w:rsidP="00E9761B">
            <w:r>
              <w:t>Lehe laiktõved</w:t>
            </w:r>
          </w:p>
          <w:p w:rsidR="00E9761B" w:rsidRDefault="00E9761B" w:rsidP="00E9761B">
            <w:r>
              <w:t>Jahukasted</w:t>
            </w:r>
          </w:p>
          <w:p w:rsidR="00187C64" w:rsidRDefault="00187C64" w:rsidP="00E9761B"/>
        </w:tc>
        <w:tc>
          <w:tcPr>
            <w:tcW w:w="2303" w:type="dxa"/>
          </w:tcPr>
          <w:p w:rsidR="00187C64" w:rsidRDefault="00D46C91" w:rsidP="00187C64">
            <w:r>
              <w:t xml:space="preserve">Kasekäsn-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Piptoporus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betulinus</w:t>
            </w:r>
            <w:proofErr w:type="spellEnd"/>
          </w:p>
        </w:tc>
        <w:tc>
          <w:tcPr>
            <w:tcW w:w="2303" w:type="dxa"/>
          </w:tcPr>
          <w:p w:rsidR="00187C64" w:rsidRDefault="00D46C91" w:rsidP="00187C64">
            <w:proofErr w:type="spellStart"/>
            <w:r>
              <w:t>Kännupess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Fomitopsis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pinicola</w:t>
            </w:r>
            <w:proofErr w:type="spellEnd"/>
          </w:p>
        </w:tc>
        <w:tc>
          <w:tcPr>
            <w:tcW w:w="2303" w:type="dxa"/>
          </w:tcPr>
          <w:p w:rsidR="00187C64" w:rsidRDefault="00D46C91" w:rsidP="00187C64">
            <w:r>
              <w:t xml:space="preserve">Must pässik-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Inonotus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obliquus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Männi-pudetõbi</w:t>
            </w:r>
          </w:p>
          <w:p w:rsidR="00E9761B" w:rsidRDefault="00E9761B" w:rsidP="00E9761B"/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Männitaelik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Phellinus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pini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Soomustorik-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Polyporus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squamosus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Tammekakk-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Daedalea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quercina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Koorepõletikud</w:t>
            </w:r>
          </w:p>
        </w:tc>
        <w:tc>
          <w:tcPr>
            <w:tcW w:w="2303" w:type="dxa"/>
          </w:tcPr>
          <w:p w:rsidR="00E9761B" w:rsidRDefault="00E9761B" w:rsidP="00E9761B">
            <w:r>
              <w:t xml:space="preserve">Tuletael-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3A02A6">
              <w:rPr>
                <w:bCs/>
                <w:i/>
              </w:rPr>
              <w:t>Fomes</w:t>
            </w:r>
            <w:proofErr w:type="spellEnd"/>
            <w:r w:rsidRPr="003A02A6">
              <w:rPr>
                <w:bCs/>
                <w:i/>
              </w:rPr>
              <w:t xml:space="preserve"> </w:t>
            </w:r>
            <w:proofErr w:type="spellStart"/>
            <w:r w:rsidRPr="003A02A6">
              <w:rPr>
                <w:bCs/>
                <w:i/>
              </w:rPr>
              <w:t>fomentarius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Ebatuletael-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Phellinus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igniarius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Vahtratarjak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Oxyporus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populinus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Tüvevähid</w:t>
            </w:r>
          </w:p>
        </w:tc>
        <w:tc>
          <w:tcPr>
            <w:tcW w:w="2303" w:type="dxa"/>
          </w:tcPr>
          <w:p w:rsidR="00E9761B" w:rsidRDefault="00E9761B" w:rsidP="00E9761B">
            <w:r>
              <w:t xml:space="preserve">Vääveltorik-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Laetiporus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sulphureus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Austerservik-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Pleurotus</w:t>
            </w:r>
            <w:proofErr w:type="spellEnd"/>
            <w:r w:rsidRPr="00D46C91">
              <w:rPr>
                <w:bCs/>
                <w:i/>
              </w:rPr>
              <w:t xml:space="preserve"> ostreatus</w:t>
            </w:r>
          </w:p>
        </w:tc>
        <w:tc>
          <w:tcPr>
            <w:tcW w:w="2303" w:type="dxa"/>
          </w:tcPr>
          <w:p w:rsidR="00E9761B" w:rsidRDefault="00E9761B" w:rsidP="00E9761B">
            <w:r>
              <w:t xml:space="preserve">Punane komuseen-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Nectria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cinnabarina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Saaresurm</w:t>
            </w:r>
          </w:p>
        </w:tc>
        <w:tc>
          <w:tcPr>
            <w:tcW w:w="2303" w:type="dxa"/>
          </w:tcPr>
          <w:p w:rsidR="00E9761B" w:rsidRDefault="00E9761B" w:rsidP="00E9761B">
            <w:r>
              <w:t>Vill-</w:t>
            </w:r>
            <w:proofErr w:type="spellStart"/>
            <w:r>
              <w:t>tagel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Trametes</w:t>
            </w:r>
            <w:proofErr w:type="spellEnd"/>
            <w:r w:rsidRPr="00D46C91">
              <w:rPr>
                <w:bCs/>
                <w:i/>
              </w:rPr>
              <w:t xml:space="preserve"> </w:t>
            </w:r>
            <w:proofErr w:type="spellStart"/>
            <w:r w:rsidRPr="00D46C91">
              <w:rPr>
                <w:bCs/>
                <w:i/>
              </w:rPr>
              <w:t>hirsuta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Kuusekõbjuk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D4457C">
              <w:rPr>
                <w:bCs/>
                <w:i/>
              </w:rPr>
              <w:t>Trichaptum</w:t>
            </w:r>
            <w:proofErr w:type="spellEnd"/>
            <w:r w:rsidRPr="00D4457C">
              <w:rPr>
                <w:bCs/>
                <w:i/>
              </w:rPr>
              <w:t xml:space="preserve"> </w:t>
            </w:r>
            <w:proofErr w:type="spellStart"/>
            <w:r w:rsidRPr="00D4457C">
              <w:rPr>
                <w:bCs/>
                <w:i/>
              </w:rPr>
              <w:t>abietinum</w:t>
            </w:r>
            <w:proofErr w:type="spellEnd"/>
          </w:p>
        </w:tc>
        <w:tc>
          <w:tcPr>
            <w:tcW w:w="2303" w:type="dxa"/>
          </w:tcPr>
          <w:p w:rsidR="00E9761B" w:rsidRPr="00187C64" w:rsidRDefault="00E9761B" w:rsidP="00E9761B">
            <w:proofErr w:type="spellStart"/>
            <w:r>
              <w:t>Jänesvaabik</w:t>
            </w:r>
            <w:proofErr w:type="spellEnd"/>
            <w:r>
              <w:t xml:space="preserve">- </w:t>
            </w:r>
            <w:proofErr w:type="spellStart"/>
            <w:r w:rsidRPr="00187C64">
              <w:rPr>
                <w:rFonts w:ascii="Calibri" w:hAnsi="Calibri"/>
                <w:i/>
              </w:rPr>
              <w:t>Ganoderma</w:t>
            </w:r>
            <w:proofErr w:type="spellEnd"/>
            <w:r w:rsidRPr="00187C64">
              <w:rPr>
                <w:rFonts w:ascii="Calibri" w:hAnsi="Calibri"/>
                <w:i/>
              </w:rPr>
              <w:t xml:space="preserve"> </w:t>
            </w:r>
            <w:proofErr w:type="spellStart"/>
            <w:r w:rsidRPr="00187C64">
              <w:rPr>
                <w:rFonts w:ascii="Calibri" w:hAnsi="Calibri"/>
                <w:i/>
              </w:rPr>
              <w:t>applanatum</w:t>
            </w:r>
            <w:proofErr w:type="spellEnd"/>
          </w:p>
          <w:p w:rsidR="00E9761B" w:rsidRDefault="00E9761B" w:rsidP="00E9761B"/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Jalakasurm</w:t>
            </w:r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Juurepruunik</w:t>
            </w:r>
            <w:proofErr w:type="spellEnd"/>
            <w:r>
              <w:t xml:space="preserve">- </w:t>
            </w:r>
            <w:proofErr w:type="spellStart"/>
            <w:r w:rsidRPr="00A2744E">
              <w:rPr>
                <w:rFonts w:ascii="Calibri" w:hAnsi="Calibri"/>
                <w:i/>
              </w:rPr>
              <w:t>Phaeolus</w:t>
            </w:r>
            <w:proofErr w:type="spellEnd"/>
            <w:r w:rsidRPr="00A2744E">
              <w:rPr>
                <w:rFonts w:ascii="Calibri" w:hAnsi="Calibri"/>
                <w:i/>
              </w:rPr>
              <w:t xml:space="preserve"> </w:t>
            </w:r>
            <w:proofErr w:type="spellStart"/>
            <w:r w:rsidRPr="00A2744E">
              <w:rPr>
                <w:rFonts w:ascii="Calibri" w:hAnsi="Calibri"/>
                <w:i/>
              </w:rPr>
              <w:t>scweinitzii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Juurepess</w:t>
            </w:r>
            <w:proofErr w:type="spellEnd"/>
            <w:r>
              <w:t xml:space="preserve">- </w:t>
            </w:r>
            <w:proofErr w:type="spellStart"/>
            <w:r w:rsidRPr="00187C64">
              <w:rPr>
                <w:i/>
              </w:rPr>
              <w:t>Heterobasidion</w:t>
            </w:r>
            <w:proofErr w:type="spellEnd"/>
            <w:r w:rsidRPr="00187C64">
              <w:rPr>
                <w:i/>
              </w:rPr>
              <w:t xml:space="preserve"> sp</w:t>
            </w:r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Pajutaelik</w:t>
            </w:r>
            <w:proofErr w:type="spellEnd"/>
            <w:r>
              <w:t>-</w:t>
            </w:r>
          </w:p>
          <w:p w:rsidR="00E9761B" w:rsidRPr="001F6BA3" w:rsidRDefault="00E9761B" w:rsidP="00E9761B">
            <w:pPr>
              <w:rPr>
                <w:i/>
              </w:rPr>
            </w:pPr>
            <w:proofErr w:type="spellStart"/>
            <w:r w:rsidRPr="001F6BA3">
              <w:rPr>
                <w:i/>
              </w:rPr>
              <w:t>Phellinus</w:t>
            </w:r>
            <w:proofErr w:type="spellEnd"/>
            <w:r w:rsidRPr="001F6BA3">
              <w:rPr>
                <w:i/>
              </w:rPr>
              <w:t xml:space="preserve"> </w:t>
            </w:r>
            <w:proofErr w:type="spellStart"/>
            <w:r w:rsidRPr="001F6BA3">
              <w:rPr>
                <w:i/>
              </w:rPr>
              <w:t>conchatus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Pr="00E9761B" w:rsidRDefault="00E9761B" w:rsidP="00E9761B">
            <w:r w:rsidRPr="00E9761B">
              <w:t>Pärna-võrsesurm</w:t>
            </w:r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Lambakorrik</w:t>
            </w:r>
            <w:proofErr w:type="spellEnd"/>
            <w:r>
              <w:t>-</w:t>
            </w:r>
          </w:p>
          <w:p w:rsidR="00E9761B" w:rsidRPr="00156CB3" w:rsidRDefault="00E9761B" w:rsidP="00E9761B">
            <w:pPr>
              <w:rPr>
                <w:i/>
              </w:rPr>
            </w:pPr>
            <w:proofErr w:type="spellStart"/>
            <w:r w:rsidRPr="00156CB3">
              <w:rPr>
                <w:i/>
              </w:rPr>
              <w:t>Cerrena</w:t>
            </w:r>
            <w:proofErr w:type="spellEnd"/>
            <w:r w:rsidRPr="00156CB3">
              <w:rPr>
                <w:i/>
              </w:rPr>
              <w:t xml:space="preserve"> </w:t>
            </w:r>
            <w:proofErr w:type="spellStart"/>
            <w:r w:rsidRPr="00156CB3">
              <w:rPr>
                <w:i/>
              </w:rPr>
              <w:t>unicolor</w:t>
            </w:r>
            <w:proofErr w:type="spellEnd"/>
          </w:p>
        </w:tc>
        <w:tc>
          <w:tcPr>
            <w:tcW w:w="2303" w:type="dxa"/>
          </w:tcPr>
          <w:p w:rsidR="00E9761B" w:rsidRPr="008B0D6C" w:rsidRDefault="00E9761B" w:rsidP="00E9761B">
            <w:pPr>
              <w:rPr>
                <w:rFonts w:asciiTheme="majorHAnsi" w:eastAsiaTheme="majorEastAsia" w:hAnsi="Tahoma" w:cstheme="majorBidi"/>
                <w:color w:val="1F497D" w:themeColor="text2"/>
                <w:sz w:val="80"/>
                <w:szCs w:val="80"/>
                <w14:shadow w14:blurRad="38100" w14:dist="38100" w14:dir="2700000" w14:sx="100000" w14:sy="100000" w14:kx="0" w14:ky="0" w14:algn="tl">
                  <w14:srgbClr w14:val="000000"/>
                </w14:shadow>
              </w:rPr>
            </w:pPr>
            <w:r>
              <w:t xml:space="preserve">Lilla </w:t>
            </w:r>
            <w:proofErr w:type="spellStart"/>
            <w:r>
              <w:t>nahkis</w:t>
            </w:r>
            <w:proofErr w:type="spellEnd"/>
            <w:r>
              <w:t xml:space="preserve">- </w:t>
            </w:r>
            <w:r w:rsidRPr="008B0D6C">
              <w:rPr>
                <w:rFonts w:asciiTheme="majorHAnsi" w:eastAsiaTheme="majorEastAsia" w:hAnsi="Tahoma" w:cstheme="majorBidi"/>
                <w:color w:val="1F497D" w:themeColor="text2"/>
                <w:sz w:val="80"/>
                <w:szCs w:val="80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</w:p>
          <w:p w:rsidR="00E9761B" w:rsidRPr="00156CB3" w:rsidRDefault="00E9761B" w:rsidP="00E9761B">
            <w:pPr>
              <w:rPr>
                <w:i/>
              </w:rPr>
            </w:pPr>
            <w:proofErr w:type="spellStart"/>
            <w:r w:rsidRPr="00156CB3">
              <w:rPr>
                <w:i/>
              </w:rPr>
              <w:t>Stereum</w:t>
            </w:r>
            <w:proofErr w:type="spellEnd"/>
            <w:r w:rsidRPr="00156CB3">
              <w:rPr>
                <w:i/>
              </w:rPr>
              <w:t xml:space="preserve"> </w:t>
            </w:r>
            <w:proofErr w:type="spellStart"/>
            <w:r w:rsidRPr="00156CB3">
              <w:rPr>
                <w:i/>
              </w:rPr>
              <w:t>purpureum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Lõhislehik- </w:t>
            </w:r>
            <w:r w:rsidRPr="008B0D6C">
              <w:rPr>
                <w:rFonts w:asciiTheme="majorHAnsi" w:eastAsiaTheme="majorEastAsia" w:hAnsi="Tahoma" w:cstheme="majorBidi"/>
                <w:color w:val="1F497D" w:themeColor="text2"/>
                <w:sz w:val="80"/>
                <w:szCs w:val="80"/>
                <w14:shadow w14:blurRad="38100" w14:dist="38100" w14:dir="2700000" w14:sx="100000" w14:sy="100000" w14:kx="0" w14:ky="0" w14:algn="tl">
                  <w14:srgbClr w14:val="000000"/>
                </w14:shadow>
              </w:rPr>
              <w:t xml:space="preserve"> </w:t>
            </w:r>
            <w:proofErr w:type="spellStart"/>
            <w:r w:rsidRPr="005A439B">
              <w:rPr>
                <w:i/>
              </w:rPr>
              <w:t>Schizophyllum</w:t>
            </w:r>
            <w:proofErr w:type="spellEnd"/>
            <w:r w:rsidRPr="005A439B">
              <w:rPr>
                <w:i/>
              </w:rPr>
              <w:t xml:space="preserve"> </w:t>
            </w:r>
            <w:proofErr w:type="spellStart"/>
            <w:r w:rsidRPr="005A439B">
              <w:rPr>
                <w:i/>
              </w:rPr>
              <w:t>commune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Tamme-oksakoorik</w:t>
            </w:r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Jalakapässik</w:t>
            </w:r>
            <w:proofErr w:type="spellEnd"/>
            <w:r>
              <w:t xml:space="preserve">- </w:t>
            </w:r>
            <w:proofErr w:type="spellStart"/>
            <w:r w:rsidRPr="003A02A6">
              <w:rPr>
                <w:i/>
              </w:rPr>
              <w:t>Inonotus</w:t>
            </w:r>
            <w:proofErr w:type="spellEnd"/>
            <w:r w:rsidRPr="003A02A6">
              <w:rPr>
                <w:i/>
              </w:rPr>
              <w:t xml:space="preserve"> </w:t>
            </w:r>
            <w:proofErr w:type="spellStart"/>
            <w:r w:rsidRPr="003A02A6">
              <w:rPr>
                <w:i/>
              </w:rPr>
              <w:t>ulmicola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Harilik suitsik- </w:t>
            </w:r>
            <w:proofErr w:type="spellStart"/>
            <w:r w:rsidRPr="003A02A6">
              <w:rPr>
                <w:i/>
              </w:rPr>
              <w:t>Bjerkandera</w:t>
            </w:r>
            <w:proofErr w:type="spellEnd"/>
            <w:r w:rsidRPr="003A02A6">
              <w:rPr>
                <w:i/>
              </w:rPr>
              <w:t xml:space="preserve"> </w:t>
            </w:r>
            <w:proofErr w:type="spellStart"/>
            <w:r w:rsidRPr="003A02A6">
              <w:rPr>
                <w:i/>
              </w:rPr>
              <w:t>adusta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Soomusmampel</w:t>
            </w:r>
            <w:proofErr w:type="spellEnd"/>
            <w:r>
              <w:t xml:space="preserve"> </w:t>
            </w:r>
            <w:proofErr w:type="spellStart"/>
            <w:r w:rsidRPr="00D4457C">
              <w:rPr>
                <w:i/>
              </w:rPr>
              <w:t>Pholiota</w:t>
            </w:r>
            <w:proofErr w:type="spellEnd"/>
            <w:r w:rsidRPr="00D4457C">
              <w:rPr>
                <w:i/>
              </w:rPr>
              <w:t xml:space="preserve"> </w:t>
            </w:r>
            <w:proofErr w:type="spellStart"/>
            <w:r w:rsidRPr="00D4457C">
              <w:rPr>
                <w:i/>
              </w:rPr>
              <w:t>squarrosa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Pr="00E9761B" w:rsidRDefault="00E9761B" w:rsidP="00E9761B">
            <w:r w:rsidRPr="00E9761B">
              <w:t>Männi-võrsevähk</w:t>
            </w:r>
          </w:p>
          <w:p w:rsidR="00E9761B" w:rsidRPr="00E9761B" w:rsidRDefault="00E9761B" w:rsidP="00E9761B">
            <w:pPr>
              <w:rPr>
                <w:i/>
              </w:rPr>
            </w:pPr>
            <w:proofErr w:type="spellStart"/>
            <w:r w:rsidRPr="00E9761B">
              <w:rPr>
                <w:i/>
              </w:rPr>
              <w:t>Diplodia</w:t>
            </w:r>
            <w:proofErr w:type="spellEnd"/>
            <w:r w:rsidRPr="00E9761B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</w:t>
            </w:r>
            <w:r w:rsidRPr="00E9761B">
              <w:rPr>
                <w:i/>
              </w:rPr>
              <w:t>pinea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Kuusetaelik</w:t>
            </w:r>
            <w:proofErr w:type="spellEnd"/>
            <w:r>
              <w:t xml:space="preserve">- </w:t>
            </w:r>
            <w:proofErr w:type="spellStart"/>
            <w:r w:rsidRPr="003A02A6">
              <w:rPr>
                <w:i/>
              </w:rPr>
              <w:t>Phellinus</w:t>
            </w:r>
            <w:proofErr w:type="spellEnd"/>
            <w:r w:rsidRPr="003A02A6">
              <w:rPr>
                <w:i/>
              </w:rPr>
              <w:t xml:space="preserve"> </w:t>
            </w:r>
            <w:proofErr w:type="spellStart"/>
            <w:r w:rsidRPr="003A02A6">
              <w:rPr>
                <w:i/>
              </w:rPr>
              <w:t>abietis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Lambakorrik</w:t>
            </w:r>
            <w:proofErr w:type="spellEnd"/>
            <w:r>
              <w:t xml:space="preserve">- </w:t>
            </w:r>
            <w:proofErr w:type="spellStart"/>
            <w:r w:rsidRPr="003A02A6">
              <w:rPr>
                <w:i/>
              </w:rPr>
              <w:t>Cerrena</w:t>
            </w:r>
            <w:proofErr w:type="spellEnd"/>
            <w:r w:rsidRPr="003A02A6">
              <w:rPr>
                <w:i/>
              </w:rPr>
              <w:t xml:space="preserve"> </w:t>
            </w:r>
            <w:proofErr w:type="spellStart"/>
            <w:r w:rsidRPr="003A02A6">
              <w:rPr>
                <w:i/>
              </w:rPr>
              <w:t>unicolor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>Põhjanarmik</w:t>
            </w:r>
          </w:p>
          <w:p w:rsidR="00E9761B" w:rsidRPr="001F6BA3" w:rsidRDefault="00E9761B" w:rsidP="00E9761B">
            <w:pPr>
              <w:rPr>
                <w:i/>
              </w:rPr>
            </w:pPr>
            <w:proofErr w:type="spellStart"/>
            <w:r w:rsidRPr="001F6BA3">
              <w:rPr>
                <w:i/>
              </w:rPr>
              <w:t>Climacodon</w:t>
            </w:r>
            <w:proofErr w:type="spellEnd"/>
            <w:r w:rsidRPr="001F6BA3">
              <w:rPr>
                <w:i/>
              </w:rPr>
              <w:t xml:space="preserve"> </w:t>
            </w:r>
            <w:proofErr w:type="spellStart"/>
            <w:r w:rsidRPr="001F6BA3">
              <w:rPr>
                <w:i/>
              </w:rPr>
              <w:t>septentrionalis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>Punavöötaud</w:t>
            </w:r>
          </w:p>
        </w:tc>
        <w:tc>
          <w:tcPr>
            <w:tcW w:w="2303" w:type="dxa"/>
          </w:tcPr>
          <w:p w:rsidR="00E9761B" w:rsidRDefault="00E9761B" w:rsidP="00E9761B">
            <w:r>
              <w:t xml:space="preserve">Mügarik </w:t>
            </w:r>
            <w:proofErr w:type="spellStart"/>
            <w:r>
              <w:t>nahkis</w:t>
            </w:r>
            <w:proofErr w:type="spellEnd"/>
            <w:r>
              <w:t xml:space="preserve">- </w:t>
            </w:r>
            <w:proofErr w:type="spellStart"/>
            <w:r w:rsidRPr="00843A7D">
              <w:rPr>
                <w:i/>
              </w:rPr>
              <w:t>Stereum</w:t>
            </w:r>
            <w:proofErr w:type="spellEnd"/>
            <w:r w:rsidRPr="00843A7D">
              <w:rPr>
                <w:i/>
              </w:rPr>
              <w:t xml:space="preserve"> </w:t>
            </w:r>
            <w:proofErr w:type="spellStart"/>
            <w:r w:rsidRPr="00843A7D">
              <w:rPr>
                <w:i/>
              </w:rPr>
              <w:t>rugosum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r>
              <w:t xml:space="preserve">Pajukakk- </w:t>
            </w:r>
            <w:proofErr w:type="spellStart"/>
            <w:r w:rsidRPr="00843A7D">
              <w:rPr>
                <w:i/>
              </w:rPr>
              <w:t>Daedaleopsis</w:t>
            </w:r>
            <w:proofErr w:type="spellEnd"/>
            <w:r w:rsidRPr="00843A7D">
              <w:rPr>
                <w:i/>
              </w:rPr>
              <w:t xml:space="preserve"> </w:t>
            </w:r>
            <w:proofErr w:type="spellStart"/>
            <w:r w:rsidRPr="00843A7D">
              <w:rPr>
                <w:i/>
              </w:rPr>
              <w:t>confragosa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Paplimampel</w:t>
            </w:r>
            <w:proofErr w:type="spellEnd"/>
            <w:r w:rsidRPr="00843A7D">
              <w:rPr>
                <w:i/>
              </w:rPr>
              <w:t xml:space="preserve">- </w:t>
            </w:r>
            <w:proofErr w:type="spellStart"/>
            <w:r w:rsidRPr="00843A7D">
              <w:rPr>
                <w:i/>
              </w:rPr>
              <w:t>Pholiota</w:t>
            </w:r>
            <w:proofErr w:type="spellEnd"/>
            <w:r w:rsidRPr="00843A7D">
              <w:rPr>
                <w:i/>
              </w:rPr>
              <w:t xml:space="preserve"> </w:t>
            </w:r>
            <w:proofErr w:type="spellStart"/>
            <w:r w:rsidRPr="00843A7D">
              <w:rPr>
                <w:i/>
              </w:rPr>
              <w:t>populnea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 xml:space="preserve">Puidu-sametkõrges- </w:t>
            </w:r>
            <w:proofErr w:type="spellStart"/>
            <w:r w:rsidRPr="00E9761B">
              <w:rPr>
                <w:i/>
              </w:rPr>
              <w:t>Flammulina</w:t>
            </w:r>
            <w:proofErr w:type="spellEnd"/>
            <w:r w:rsidRPr="00E9761B">
              <w:rPr>
                <w:i/>
              </w:rPr>
              <w:t xml:space="preserve"> </w:t>
            </w:r>
            <w:proofErr w:type="spellStart"/>
            <w:r w:rsidRPr="00E9761B">
              <w:rPr>
                <w:i/>
              </w:rPr>
              <w:t>velutipes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Lepapässik</w:t>
            </w:r>
            <w:proofErr w:type="spellEnd"/>
            <w:r>
              <w:t xml:space="preserve">- </w:t>
            </w:r>
            <w:proofErr w:type="spellStart"/>
            <w:r w:rsidRPr="003A02A6">
              <w:rPr>
                <w:i/>
              </w:rPr>
              <w:t>Inonotus</w:t>
            </w:r>
            <w:proofErr w:type="spellEnd"/>
            <w:r w:rsidRPr="003A02A6">
              <w:rPr>
                <w:i/>
              </w:rPr>
              <w:t xml:space="preserve"> </w:t>
            </w:r>
            <w:proofErr w:type="spellStart"/>
            <w:r w:rsidRPr="003A02A6">
              <w:rPr>
                <w:i/>
              </w:rPr>
              <w:t>radiatus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Maksak</w:t>
            </w:r>
            <w:proofErr w:type="spellEnd"/>
            <w:r>
              <w:t xml:space="preserve">- </w:t>
            </w:r>
            <w:r w:rsidRPr="00843A7D">
              <w:rPr>
                <w:i/>
              </w:rPr>
              <w:t xml:space="preserve">Fistulina </w:t>
            </w:r>
            <w:proofErr w:type="spellStart"/>
            <w:r w:rsidRPr="00843A7D">
              <w:rPr>
                <w:i/>
              </w:rPr>
              <w:t>hepatica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Punkttaelik</w:t>
            </w:r>
            <w:proofErr w:type="spellEnd"/>
            <w:r>
              <w:t xml:space="preserve">- </w:t>
            </w:r>
            <w:proofErr w:type="spellStart"/>
            <w:r w:rsidRPr="00E9761B">
              <w:rPr>
                <w:i/>
              </w:rPr>
              <w:t>Phellinus</w:t>
            </w:r>
            <w:proofErr w:type="spellEnd"/>
            <w:r w:rsidRPr="00E9761B">
              <w:rPr>
                <w:i/>
              </w:rPr>
              <w:t xml:space="preserve"> </w:t>
            </w:r>
            <w:proofErr w:type="spellStart"/>
            <w:r w:rsidRPr="00E9761B">
              <w:rPr>
                <w:i/>
              </w:rPr>
              <w:t>punctatus</w:t>
            </w:r>
            <w:proofErr w:type="spellEnd"/>
          </w:p>
        </w:tc>
      </w:tr>
      <w:tr w:rsidR="00E9761B" w:rsidTr="00187C64">
        <w:tc>
          <w:tcPr>
            <w:tcW w:w="2303" w:type="dxa"/>
          </w:tcPr>
          <w:p w:rsidR="00E9761B" w:rsidRDefault="00E9761B" w:rsidP="00E9761B">
            <w:r>
              <w:t xml:space="preserve">Pajukakk- </w:t>
            </w:r>
            <w:r w:rsidRPr="00E9761B">
              <w:rPr>
                <w:rFonts w:asciiTheme="majorHAnsi" w:eastAsiaTheme="majorEastAsia" w:hAnsi="Lucida Sans" w:cstheme="majorBidi"/>
                <w:b/>
                <w:bCs/>
                <w:color w:val="EAD696"/>
                <w:kern w:val="24"/>
                <w:sz w:val="72"/>
                <w:szCs w:val="72"/>
                <w14:shadow w14:blurRad="114300" w14:dist="1016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73000">
                        <w14:schemeClr w14:val="accent1">
                          <w14:tint w14:val="73000"/>
                          <w14:satMod w14:val="145000"/>
                        </w14:schemeClr>
                      </w14:gs>
                      <w14:gs w14:pos="100000">
                        <w14:schemeClr w14:val="accent1">
                          <w14:tint w14:val="83000"/>
                          <w14:satMod w14:val="143000"/>
                        </w14:schemeClr>
                      </w14:gs>
                    </w14:gsLst>
                    <w14:lin w14:ang="4800000" w14:scaled="1"/>
                  </w14:gradFill>
                </w14:textFill>
              </w:rPr>
              <w:t xml:space="preserve"> </w:t>
            </w:r>
            <w:proofErr w:type="spellStart"/>
            <w:r w:rsidRPr="005A439B">
              <w:rPr>
                <w:bCs/>
                <w:i/>
              </w:rPr>
              <w:t>Daedaleopsis</w:t>
            </w:r>
            <w:proofErr w:type="spellEnd"/>
            <w:r w:rsidRPr="005A439B">
              <w:rPr>
                <w:bCs/>
                <w:i/>
              </w:rPr>
              <w:t xml:space="preserve"> </w:t>
            </w:r>
            <w:proofErr w:type="spellStart"/>
            <w:r w:rsidRPr="005A439B">
              <w:rPr>
                <w:bCs/>
                <w:i/>
              </w:rPr>
              <w:t>confragosa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Ploomitaelik</w:t>
            </w:r>
            <w:proofErr w:type="spellEnd"/>
            <w:r>
              <w:t xml:space="preserve">- </w:t>
            </w:r>
            <w:proofErr w:type="spellStart"/>
            <w:r w:rsidRPr="00E9761B">
              <w:rPr>
                <w:i/>
              </w:rPr>
              <w:t>Phellinus</w:t>
            </w:r>
            <w:proofErr w:type="spellEnd"/>
            <w:r w:rsidRPr="00E9761B">
              <w:rPr>
                <w:i/>
              </w:rPr>
              <w:t xml:space="preserve"> </w:t>
            </w:r>
            <w:proofErr w:type="spellStart"/>
            <w:r w:rsidRPr="00E9761B">
              <w:rPr>
                <w:i/>
              </w:rPr>
              <w:t>tuberculosus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>
            <w:proofErr w:type="spellStart"/>
            <w:r>
              <w:t>Vahtpoorik</w:t>
            </w:r>
            <w:proofErr w:type="spellEnd"/>
            <w:r>
              <w:t xml:space="preserve">- </w:t>
            </w:r>
            <w:proofErr w:type="spellStart"/>
            <w:r w:rsidRPr="00E9761B">
              <w:rPr>
                <w:i/>
              </w:rPr>
              <w:t>Spongipellis</w:t>
            </w:r>
            <w:proofErr w:type="spellEnd"/>
            <w:r w:rsidRPr="00E9761B">
              <w:rPr>
                <w:i/>
              </w:rPr>
              <w:t xml:space="preserve"> </w:t>
            </w:r>
            <w:proofErr w:type="spellStart"/>
            <w:r w:rsidRPr="00E9761B">
              <w:rPr>
                <w:i/>
              </w:rPr>
              <w:t>spumeus</w:t>
            </w:r>
            <w:proofErr w:type="spellEnd"/>
          </w:p>
        </w:tc>
        <w:tc>
          <w:tcPr>
            <w:tcW w:w="2303" w:type="dxa"/>
          </w:tcPr>
          <w:p w:rsidR="00E9761B" w:rsidRDefault="00E9761B" w:rsidP="00E9761B"/>
        </w:tc>
      </w:tr>
    </w:tbl>
    <w:p w:rsidR="00187C64" w:rsidRDefault="00187C64"/>
    <w:p w:rsidR="00187C64" w:rsidRDefault="00187C64"/>
    <w:p w:rsidR="00187C64" w:rsidRDefault="00187C64"/>
    <w:p w:rsidR="00187C64" w:rsidRDefault="00187C64"/>
    <w:p w:rsidR="00187C64" w:rsidRDefault="00187C64"/>
    <w:p w:rsidR="00187C64" w:rsidRDefault="00187C64"/>
    <w:sectPr w:rsidR="0018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8"/>
    <w:rsid w:val="00066384"/>
    <w:rsid w:val="00156CB3"/>
    <w:rsid w:val="00187C64"/>
    <w:rsid w:val="001F6BA3"/>
    <w:rsid w:val="003A02A6"/>
    <w:rsid w:val="005A439B"/>
    <w:rsid w:val="00657CCD"/>
    <w:rsid w:val="00843A7D"/>
    <w:rsid w:val="008B0D6C"/>
    <w:rsid w:val="009D74EB"/>
    <w:rsid w:val="00C43A98"/>
    <w:rsid w:val="00D4457C"/>
    <w:rsid w:val="00D46C91"/>
    <w:rsid w:val="00E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3A170-CABD-4157-B60F-A039EF8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8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Tüür</dc:creator>
  <cp:keywords/>
  <dc:description/>
  <cp:lastModifiedBy>Marje Kask</cp:lastModifiedBy>
  <cp:revision>2</cp:revision>
  <dcterms:created xsi:type="dcterms:W3CDTF">2019-09-09T16:28:00Z</dcterms:created>
  <dcterms:modified xsi:type="dcterms:W3CDTF">2019-09-09T16:28:00Z</dcterms:modified>
</cp:coreProperties>
</file>